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МБОУ «Кутлуевская СОШ имени Я.А. Ахметшина»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Мастер класс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«Подбор заданий по формированию функциональной грамотности на уроках математики»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Учитель математики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Сираева Л.В.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2023 год.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Детей надо учить тому,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пригодится им, когда они вырастут.</w:t>
        <w:br w:type="textWrapping"/>
        <w:t xml:space="preserve">Аристипп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Уважаемые коллеги! Представляю вашему вниманию мастер-класс на тему: «Подбор заданий по формированию функциональной грамотности на уроках математики».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4"/>
          <w:szCs w:val="24"/>
          <w:u w:val="none"/>
          <w:shd w:fill="auto" w:val="clear"/>
          <w:vertAlign w:val="baseline"/>
          <w:rtl w:val="0"/>
        </w:rPr>
        <w:t xml:space="preserve"> Основная часть мастер-класса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Современная система школьного образования переживает большие изменения в своей структуре, на передний план в данный момент выходят требования общества к выпускникам: это навыки работы в команде, лидерские качества, инициативность, ИТ-компетентность, финансовая и гражданская грамотности и многое другое. Заказ общества - на всесторонне развитую личность, способную принимать нестандартные решения, умеющую анализировать, сопоставлять имеющуюся информацию, делать выводы и использовать творчески полученные знания.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76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этими требованиями, формирование  функциональной грамотности у учащихся становится очень важной целью для любого педагога. При изучении любого учебного предмета есть возможность для формирования и развития функциональной грамотности. В рамках  почти любой темы можно поставить   перед учащимся проблемы вне предметной области, которые решались бы с помощью знаний, полученных при изучении того или иного предмета. Математика предоставляет хорошие возможности для рассмотрения подобных задач. На уроках математики чаще, чем на других уроках учащиеся сталкиваются с текстовыми задачами различного содержания и привычным образом составляют модель для применения математических знаний для конкретной задачи. Поговорим сегодня о формировании математической грамотности, как одной из составляющих функциональной грамотности.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Математическая грамотность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способность  проводить математические рассуждения и формулировать, применять, интерпретировать математику для решения проблем  в разнообразных контекстах реального мира.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Разберем проблемы, которые возникают при формировании функциональной грамотности на уроках математики.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Во-первых, учащиеся  испытывают затруднения, связанные с избирательным  чтением. Они не  могут выделить существенную информацию, вопрос и данные, важные для решения задачи.  В своей работе я сталкивалась с тем, что ученик, видя нестандартную задачу, не приступал к решению, только из-за того, что его пугает большое количество данных или большой объём текстовой информации. Хотя со стандартными задачами  из учебника ученик справляется.  Невнимательность к прочтению условия, непривычность и необычность формулировок пугает обучающихся.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Вторая  проблема при формировании математической функциональной грамотности: как сформулировать  (переформулировать) задачу, чтобы найти тот математический аппарат, с помощью которого уже можно решить привычную математическую задачу? Оценить математические связи между событиями. Это и есть основная проблема для школьника.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Третья немало важная проблема возникает при  интерпретации результата, полученного математическими вычислениями, обратный перевод с математического языка на язык решаемой проблемной задачи. Очень часто учащиеся, получив ответ при решении задачи, не задумываются, возможен ли такой результат в реальности. И тогда мы можем получить в ответе: отрицательную строну  квадрата, отрицательную скорость движения  или не целое число строителей и т.п. Распространенная ошибка среди учащиеся  11 класса  при решении 6-го задания  базового уровня  (решения задач на наибольшее/ наименьшее с целыми (по смыслу) ответами), не понимание по смыслу задачи, в какой именно проводиться округление к большему значению, а в какой к меньшему.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Включая в  урок нестандартные задания,  множественные тексты, организуя  с учащимися различные проекты, учителя таким образом пытаются решить проблему формирования математической функциональной грамотности. В своей работе я стараюсь чаще использовать нестандартные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Типы задач, которые рассматриваем на уроках математики: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Межпредметные задачи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в условии описана ситуация на языке одной из предметных областей с явным или неявным использованием языка математического. Для решения нужно применять знания, не только математические, но и знания соответствующей предметной  области; также поиск недостающих данных, причем решение и ответ могут зависеть от исходных данных, выбранных (найденных) самими учащимися.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Практико-ориентированные задачи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в условии описана такая ситуация, с которой учащиеся встречается в повседневной своей жизненной практике. Для решения задачи нужно мобилизовать не только математические знания, но и применить знания, приобретенные из повседневного опыта. Данные в задаче должны быть взяты из реальной действительности.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Ситуационные задачи: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связаны с непосредственным повседневным опытом учащегося, но они помогают  увидеть и понять, как и где могут быть полезны ему в будущем знания,  полученные на уроках. Решение ситуационных задач стимулирует развитие познавательной мотивации учащихся, формируют способы переноса знания в широкий социально-культурный контекст.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Возможно использование калькулятора, для больших и сложных вычислений.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учащиеся с большим интересом  относятся к таким задачам, не смотря на разный уровень подготовленности.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8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Таким образом, и на уроках математике, и вне урока, можно организовать работу с учащимися по формированию  их функциональной грамотности.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Задания для 6 классa.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Проценты (1 урок) 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4038600" cy="2748492"/>
            <wp:effectExtent b="0" l="0" r="0" t="0"/>
            <wp:docPr descr="E:\МАМА\Безымянный2222.png" id="1" name="image1.png"/>
            <a:graphic>
              <a:graphicData uri="http://schemas.openxmlformats.org/drawingml/2006/picture">
                <pic:pic>
                  <pic:nvPicPr>
                    <pic:cNvPr descr="E:\МАМА\Безымянный2222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7484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Вами данные по теме «Сколько мы читаем за год?». Изучите их и ответьте на вопросы: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Сколько процентов населения читают более 10 книг в год?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Сколько процентов населения не прочитали ни одной книги?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На сколько процентов увеличилось число не читающих за десять лет?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Сделайте прогноз: какой процент населения не читает книги в 2019 году?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Как Вы считаете, нужны ли будут книги населению в 2025 году? </w:t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Любите ли Вы читать? Сколько книг за год Вы прочитали? Задайте своим одноклассникам вопросы по данным рисунка.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Задания для 7-8 классов.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Проценты (обобщающий урок)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Задача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«Сколько стоит собрать ребенка в школу»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3238500" cy="2849880"/>
            <wp:effectExtent b="0" l="0" r="0" t="0"/>
            <wp:docPr descr="E:\МАМА\Безымянный 444.png" id="3" name="image3.png"/>
            <a:graphic>
              <a:graphicData uri="http://schemas.openxmlformats.org/drawingml/2006/picture">
                <pic:pic>
                  <pic:nvPicPr>
                    <pic:cNvPr descr="E:\МАМА\Безымянный 444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849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Вами данные о сборе школьников первого класса в школу. Изучите информацию и ответьте на вопросы: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Рассчитайте, какой процент от семейного дохода нужно потратить на первоклассника в семье, если ее суммарный доход 52000 руб.?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Рассчитайте, на кого семья потратит больше: на девочку или мальчика? И на сколько процентов?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Сколько процентов от общих затрат на мальчика, стоит костюм школьника?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Какие вопросы Вы сможете задать своим одноклассникам по данным рисунка? Составьте задачи на проценты.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Задания для 8 класса (геометрия)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Задание «Теорема Пифагора, признаки подобия и другое»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60 метрах одна от другой растут две сосны. Высота одной 31 метр, а другой -6  метров. Найдите расстояние между их верхушками.</w:t>
      </w:r>
    </w:p>
    <w:p w:rsidR="00000000" w:rsidDel="00000000" w:rsidP="00000000" w:rsidRDefault="00000000" w:rsidRPr="00000000" w14:paraId="0000005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4362450" cy="1504950"/>
            <wp:effectExtent b="0" l="0" r="0" t="0"/>
            <wp:docPr descr="E:\МАМА\Безымянный 7.png" id="2" name="image2.png"/>
            <a:graphic>
              <a:graphicData uri="http://schemas.openxmlformats.org/drawingml/2006/picture">
                <pic:pic>
                  <pic:nvPicPr>
                    <pic:cNvPr descr="E:\МАМА\Безымянный 7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Задания для 9-10 класса.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Алексей Юрьевич решил построить на дачном участке теплицу длиной NP = 5,5 м. Для этого он сделал прямоугольный фундамент. Для каркаса теплицы Алексей Юрьевич заказывает металлические дуги в форме полуокружностей длиной 5,8 м каждая и плёнку для обтяжки. В передней стенке планируется вход, показанный на рисунке прямоугольником ACDB. Точки A и B— середины отрезков MO и ON соответственно. 1) Какое наименьшее количество дуг нужно заказать, чтобы расстояние между соседними дугами было не более 60 см? 2) Найдите примерную ширину MN теплицы в метрах. Число π возьмите равным 3,14. Результат округлите до десятых. 3) Найдите примерную площадь участка внутри теплицы в квадратных метрах. 4) Сколько квадратных метров плёнки нужно купить для теплицы с учётом передней и задней стенок, включая дверь? Для крепежа плёнку нужно покупать с запасом 10 %. Число π возьмите равным 3,14. Ответ округлите до целых. 5) Найдите примерную высоту входа в теплицу в метрах. Число π возьмите равным 3,14. Ответ округлите до десятых.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4887139" cy="1536944"/>
            <wp:effectExtent b="0" l="0" r="0" t="0"/>
            <wp:docPr descr="E:\МАМА\Безымянный.png" id="4" name="image4.png"/>
            <a:graphic>
              <a:graphicData uri="http://schemas.openxmlformats.org/drawingml/2006/picture">
                <pic:pic>
                  <pic:nvPicPr>
                    <pic:cNvPr descr="E:\МАМА\Безымянный.png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7139" cy="1536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Спасибо за внимание!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